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E5BFB" w:rsidRPr="001E5BFB" w:rsidRDefault="001E5BFB" w:rsidP="001E5BFB">
      <w:pPr>
        <w:jc w:val="center"/>
        <w:rPr>
          <w:b/>
          <w:bCs/>
          <w:sz w:val="25"/>
          <w:szCs w:val="25"/>
          <w:lang w:val="ru-UA"/>
        </w:rPr>
      </w:pPr>
      <w:r w:rsidRPr="001E5BFB">
        <w:rPr>
          <w:b/>
          <w:bCs/>
          <w:sz w:val="25"/>
          <w:szCs w:val="25"/>
        </w:rPr>
        <w:t xml:space="preserve">Перелік питань </w:t>
      </w:r>
      <w:r w:rsidRPr="001E5BFB">
        <w:rPr>
          <w:b/>
          <w:bCs/>
          <w:sz w:val="25"/>
          <w:szCs w:val="25"/>
          <w:lang w:val="ru-UA"/>
        </w:rPr>
        <w:t>для підготовки до диференційного заліку з дисципліни «Актуальні питання цивільного права та цивільного процесу»:</w:t>
      </w:r>
    </w:p>
    <w:p w:rsidR="001E5BFB" w:rsidRPr="001E5BFB" w:rsidRDefault="001E5BFB" w:rsidP="001E5BFB">
      <w:pPr>
        <w:rPr>
          <w:sz w:val="25"/>
          <w:szCs w:val="25"/>
          <w:lang w:val="ru-UA"/>
        </w:rPr>
      </w:pPr>
      <w:r w:rsidRPr="001E5BFB">
        <w:rPr>
          <w:sz w:val="25"/>
          <w:szCs w:val="25"/>
          <w:lang w:val="ru-UA"/>
        </w:rPr>
        <w:br/>
      </w:r>
    </w:p>
    <w:p w:rsidR="001E5BFB" w:rsidRPr="001E5BFB" w:rsidRDefault="001E5BFB" w:rsidP="001E5BFB">
      <w:pPr>
        <w:numPr>
          <w:ilvl w:val="0"/>
          <w:numId w:val="1"/>
        </w:numPr>
        <w:rPr>
          <w:sz w:val="25"/>
          <w:szCs w:val="25"/>
          <w:lang w:val="ru-UA"/>
        </w:rPr>
      </w:pPr>
      <w:r w:rsidRPr="001E5BFB">
        <w:rPr>
          <w:sz w:val="25"/>
          <w:szCs w:val="25"/>
          <w:lang w:val="ru-UA"/>
        </w:rPr>
        <w:t>Новітні тенденції розвитку цивільного законодавства та судової практики щодо захисту права власності.</w:t>
      </w:r>
    </w:p>
    <w:p w:rsidR="001E5BFB" w:rsidRPr="001E5BFB" w:rsidRDefault="001E5BFB" w:rsidP="001E5BFB">
      <w:pPr>
        <w:numPr>
          <w:ilvl w:val="0"/>
          <w:numId w:val="1"/>
        </w:numPr>
        <w:rPr>
          <w:sz w:val="25"/>
          <w:szCs w:val="25"/>
          <w:lang w:val="ru-UA"/>
        </w:rPr>
      </w:pPr>
      <w:r w:rsidRPr="001E5BFB">
        <w:rPr>
          <w:sz w:val="25"/>
          <w:szCs w:val="25"/>
          <w:lang w:val="ru-UA"/>
        </w:rPr>
        <w:t>Проблемні питання застосування віндикаційного позову на сучасному етапі.</w:t>
      </w:r>
    </w:p>
    <w:p w:rsidR="001E5BFB" w:rsidRPr="001E5BFB" w:rsidRDefault="001E5BFB" w:rsidP="001E5BFB">
      <w:pPr>
        <w:numPr>
          <w:ilvl w:val="0"/>
          <w:numId w:val="1"/>
        </w:numPr>
        <w:rPr>
          <w:sz w:val="25"/>
          <w:szCs w:val="25"/>
          <w:lang w:val="ru-UA"/>
        </w:rPr>
      </w:pPr>
      <w:r w:rsidRPr="001E5BFB">
        <w:rPr>
          <w:sz w:val="25"/>
          <w:szCs w:val="25"/>
          <w:lang w:val="ru-UA"/>
        </w:rPr>
        <w:t>Особливості застосування негаторного позову та захисту від порушень, не пов'язаних із позбавленням володіння.</w:t>
      </w:r>
    </w:p>
    <w:p w:rsidR="001E5BFB" w:rsidRPr="001E5BFB" w:rsidRDefault="001E5BFB" w:rsidP="001E5BFB">
      <w:pPr>
        <w:numPr>
          <w:ilvl w:val="0"/>
          <w:numId w:val="1"/>
        </w:numPr>
        <w:rPr>
          <w:sz w:val="25"/>
          <w:szCs w:val="25"/>
          <w:lang w:val="ru-UA"/>
        </w:rPr>
      </w:pPr>
      <w:r w:rsidRPr="001E5BFB">
        <w:rPr>
          <w:sz w:val="25"/>
          <w:szCs w:val="25"/>
          <w:lang w:val="ru-UA"/>
        </w:rPr>
        <w:t>Способи захисту прав на нерухоме майно у судовій практиці.</w:t>
      </w:r>
    </w:p>
    <w:p w:rsidR="001E5BFB" w:rsidRPr="001E5BFB" w:rsidRDefault="001E5BFB" w:rsidP="001E5BFB">
      <w:pPr>
        <w:numPr>
          <w:ilvl w:val="0"/>
          <w:numId w:val="1"/>
        </w:numPr>
        <w:rPr>
          <w:sz w:val="25"/>
          <w:szCs w:val="25"/>
          <w:lang w:val="ru-UA"/>
        </w:rPr>
      </w:pPr>
      <w:r w:rsidRPr="001E5BFB">
        <w:rPr>
          <w:sz w:val="25"/>
          <w:szCs w:val="25"/>
          <w:lang w:val="ru-UA"/>
        </w:rPr>
        <w:t>Сучасні підходи до визнання правочинів недійсними та їх доктринальне обґрунтування.</w:t>
      </w:r>
    </w:p>
    <w:p w:rsidR="001E5BFB" w:rsidRPr="001E5BFB" w:rsidRDefault="001E5BFB" w:rsidP="001E5BFB">
      <w:pPr>
        <w:numPr>
          <w:ilvl w:val="0"/>
          <w:numId w:val="1"/>
        </w:numPr>
        <w:rPr>
          <w:sz w:val="25"/>
          <w:szCs w:val="25"/>
          <w:lang w:val="ru-UA"/>
        </w:rPr>
      </w:pPr>
      <w:r w:rsidRPr="001E5BFB">
        <w:rPr>
          <w:sz w:val="25"/>
          <w:szCs w:val="25"/>
          <w:lang w:val="ru-UA"/>
        </w:rPr>
        <w:t>Відмежування нікчемних та оспорюваних правочинів: правові позиції Верховного Суду.</w:t>
      </w:r>
    </w:p>
    <w:p w:rsidR="001E5BFB" w:rsidRPr="001E5BFB" w:rsidRDefault="001E5BFB" w:rsidP="001E5BFB">
      <w:pPr>
        <w:numPr>
          <w:ilvl w:val="0"/>
          <w:numId w:val="1"/>
        </w:numPr>
        <w:rPr>
          <w:sz w:val="25"/>
          <w:szCs w:val="25"/>
          <w:lang w:val="ru-UA"/>
        </w:rPr>
      </w:pPr>
      <w:r w:rsidRPr="001E5BFB">
        <w:rPr>
          <w:sz w:val="25"/>
          <w:szCs w:val="25"/>
          <w:lang w:val="ru-UA"/>
        </w:rPr>
        <w:t>Правові наслідки недійсності правочинів: реституція, витребування майна та відшкодування збитків.</w:t>
      </w:r>
    </w:p>
    <w:p w:rsidR="001E5BFB" w:rsidRPr="001E5BFB" w:rsidRDefault="001E5BFB" w:rsidP="001E5BFB">
      <w:pPr>
        <w:numPr>
          <w:ilvl w:val="0"/>
          <w:numId w:val="1"/>
        </w:numPr>
        <w:rPr>
          <w:sz w:val="25"/>
          <w:szCs w:val="25"/>
          <w:lang w:val="ru-UA"/>
        </w:rPr>
      </w:pPr>
      <w:r w:rsidRPr="001E5BFB">
        <w:rPr>
          <w:sz w:val="25"/>
          <w:szCs w:val="25"/>
          <w:lang w:val="ru-UA"/>
        </w:rPr>
        <w:t>Поняття та критерії обрання ефективного способу захисту цивільних прав та інтересів.</w:t>
      </w:r>
    </w:p>
    <w:p w:rsidR="001E5BFB" w:rsidRPr="001E5BFB" w:rsidRDefault="001E5BFB" w:rsidP="001E5BFB">
      <w:pPr>
        <w:numPr>
          <w:ilvl w:val="0"/>
          <w:numId w:val="1"/>
        </w:numPr>
        <w:rPr>
          <w:sz w:val="25"/>
          <w:szCs w:val="25"/>
          <w:lang w:val="ru-UA"/>
        </w:rPr>
      </w:pPr>
      <w:r w:rsidRPr="001E5BFB">
        <w:rPr>
          <w:sz w:val="25"/>
          <w:szCs w:val="25"/>
          <w:lang w:val="ru-UA"/>
        </w:rPr>
        <w:t>Проблема «неналежного способу захисту» у цивільному судочинстві та її процесуальні наслідки.</w:t>
      </w:r>
    </w:p>
    <w:p w:rsidR="001E5BFB" w:rsidRPr="001E5BFB" w:rsidRDefault="001E5BFB" w:rsidP="001E5BFB">
      <w:pPr>
        <w:numPr>
          <w:ilvl w:val="0"/>
          <w:numId w:val="1"/>
        </w:numPr>
        <w:rPr>
          <w:sz w:val="25"/>
          <w:szCs w:val="25"/>
          <w:lang w:val="ru-UA"/>
        </w:rPr>
      </w:pPr>
      <w:r w:rsidRPr="001E5BFB">
        <w:rPr>
          <w:sz w:val="25"/>
          <w:szCs w:val="25"/>
          <w:lang w:val="ru-UA"/>
        </w:rPr>
        <w:t>Актуальні проблеми захисту особистих немайнових прав фізичних осіб у цивільному праві.</w:t>
      </w:r>
    </w:p>
    <w:p w:rsidR="001E5BFB" w:rsidRPr="001E5BFB" w:rsidRDefault="001E5BFB" w:rsidP="001E5BFB">
      <w:pPr>
        <w:numPr>
          <w:ilvl w:val="0"/>
          <w:numId w:val="1"/>
        </w:numPr>
        <w:rPr>
          <w:sz w:val="25"/>
          <w:szCs w:val="25"/>
          <w:lang w:val="ru-UA"/>
        </w:rPr>
      </w:pPr>
      <w:r w:rsidRPr="001E5BFB">
        <w:rPr>
          <w:sz w:val="25"/>
          <w:szCs w:val="25"/>
          <w:lang w:val="ru-UA"/>
        </w:rPr>
        <w:t>Захист честі, гідності та ділової репутації у цифровому середовищі та соціальних мережах.</w:t>
      </w:r>
    </w:p>
    <w:p w:rsidR="001E5BFB" w:rsidRPr="001E5BFB" w:rsidRDefault="001E5BFB" w:rsidP="001E5BFB">
      <w:pPr>
        <w:numPr>
          <w:ilvl w:val="0"/>
          <w:numId w:val="1"/>
        </w:numPr>
        <w:rPr>
          <w:sz w:val="25"/>
          <w:szCs w:val="25"/>
          <w:lang w:val="ru-UA"/>
        </w:rPr>
      </w:pPr>
      <w:r w:rsidRPr="001E5BFB">
        <w:rPr>
          <w:sz w:val="25"/>
          <w:szCs w:val="25"/>
          <w:lang w:val="ru-UA"/>
        </w:rPr>
        <w:t>Права фізичної особи на приватність, захист персональних даних та їх цивільно-правова охорона.</w:t>
      </w:r>
    </w:p>
    <w:p w:rsidR="001E5BFB" w:rsidRPr="001E5BFB" w:rsidRDefault="001E5BFB" w:rsidP="001E5BFB">
      <w:pPr>
        <w:numPr>
          <w:ilvl w:val="0"/>
          <w:numId w:val="1"/>
        </w:numPr>
        <w:rPr>
          <w:sz w:val="25"/>
          <w:szCs w:val="25"/>
          <w:lang w:val="ru-UA"/>
        </w:rPr>
      </w:pPr>
      <w:r w:rsidRPr="001E5BFB">
        <w:rPr>
          <w:sz w:val="25"/>
          <w:szCs w:val="25"/>
          <w:lang w:val="ru-UA"/>
        </w:rPr>
        <w:t>Проблемні питання спадкування за заповітом та спадкового договору.</w:t>
      </w:r>
    </w:p>
    <w:p w:rsidR="001E5BFB" w:rsidRPr="001E5BFB" w:rsidRDefault="001E5BFB" w:rsidP="001E5BFB">
      <w:pPr>
        <w:numPr>
          <w:ilvl w:val="0"/>
          <w:numId w:val="1"/>
        </w:numPr>
        <w:rPr>
          <w:sz w:val="25"/>
          <w:szCs w:val="25"/>
          <w:lang w:val="ru-UA"/>
        </w:rPr>
      </w:pPr>
      <w:r w:rsidRPr="001E5BFB">
        <w:rPr>
          <w:sz w:val="25"/>
          <w:szCs w:val="25"/>
          <w:lang w:val="ru-UA"/>
        </w:rPr>
        <w:t>Особливості спадкування за законом та черговість спадкоємців у сучасній судовій практиці.</w:t>
      </w:r>
    </w:p>
    <w:p w:rsidR="001E5BFB" w:rsidRPr="001E5BFB" w:rsidRDefault="001E5BFB" w:rsidP="001E5BFB">
      <w:pPr>
        <w:numPr>
          <w:ilvl w:val="0"/>
          <w:numId w:val="1"/>
        </w:numPr>
        <w:rPr>
          <w:sz w:val="25"/>
          <w:szCs w:val="25"/>
          <w:lang w:val="ru-UA"/>
        </w:rPr>
      </w:pPr>
      <w:r w:rsidRPr="001E5BFB">
        <w:rPr>
          <w:sz w:val="25"/>
          <w:szCs w:val="25"/>
          <w:lang w:val="ru-UA"/>
        </w:rPr>
        <w:t>Спадкування в умовах воєнного стану: особливості строків та процедури оформлення спадкових прав.</w:t>
      </w:r>
    </w:p>
    <w:p w:rsidR="001E5BFB" w:rsidRPr="001E5BFB" w:rsidRDefault="001E5BFB" w:rsidP="001E5BFB">
      <w:pPr>
        <w:numPr>
          <w:ilvl w:val="0"/>
          <w:numId w:val="1"/>
        </w:numPr>
        <w:rPr>
          <w:sz w:val="25"/>
          <w:szCs w:val="25"/>
          <w:lang w:val="ru-UA"/>
        </w:rPr>
      </w:pPr>
      <w:r w:rsidRPr="001E5BFB">
        <w:rPr>
          <w:sz w:val="25"/>
          <w:szCs w:val="25"/>
          <w:lang w:val="ru-UA"/>
        </w:rPr>
        <w:t>Сучасні цивілістичні доктрини регулювання об'єктів права інтелектуальної власності.</w:t>
      </w:r>
    </w:p>
    <w:p w:rsidR="001E5BFB" w:rsidRPr="001E5BFB" w:rsidRDefault="001E5BFB" w:rsidP="001E5BFB">
      <w:pPr>
        <w:numPr>
          <w:ilvl w:val="0"/>
          <w:numId w:val="1"/>
        </w:numPr>
        <w:rPr>
          <w:sz w:val="25"/>
          <w:szCs w:val="25"/>
          <w:lang w:val="ru-UA"/>
        </w:rPr>
      </w:pPr>
      <w:r w:rsidRPr="001E5BFB">
        <w:rPr>
          <w:sz w:val="25"/>
          <w:szCs w:val="25"/>
          <w:lang w:val="ru-UA"/>
        </w:rPr>
        <w:t>Захист авторських та суміжних прав у мережі Інтернет.</w:t>
      </w:r>
    </w:p>
    <w:p w:rsidR="001E5BFB" w:rsidRPr="001E5BFB" w:rsidRDefault="001E5BFB" w:rsidP="001E5BFB">
      <w:pPr>
        <w:numPr>
          <w:ilvl w:val="0"/>
          <w:numId w:val="1"/>
        </w:numPr>
        <w:rPr>
          <w:sz w:val="25"/>
          <w:szCs w:val="25"/>
          <w:lang w:val="ru-UA"/>
        </w:rPr>
      </w:pPr>
      <w:r w:rsidRPr="001E5BFB">
        <w:rPr>
          <w:sz w:val="25"/>
          <w:szCs w:val="25"/>
          <w:lang w:val="ru-UA"/>
        </w:rPr>
        <w:t>Актуальні питання понятійного апарату сімейного права України.</w:t>
      </w:r>
    </w:p>
    <w:p w:rsidR="001E5BFB" w:rsidRPr="001E5BFB" w:rsidRDefault="001E5BFB" w:rsidP="001E5BFB">
      <w:pPr>
        <w:numPr>
          <w:ilvl w:val="0"/>
          <w:numId w:val="1"/>
        </w:numPr>
        <w:rPr>
          <w:sz w:val="25"/>
          <w:szCs w:val="25"/>
          <w:lang w:val="ru-UA"/>
        </w:rPr>
      </w:pPr>
      <w:r w:rsidRPr="001E5BFB">
        <w:rPr>
          <w:sz w:val="25"/>
          <w:szCs w:val="25"/>
          <w:lang w:val="ru-UA"/>
        </w:rPr>
        <w:t>Доктринальні та практичні підходи до вирішення спорів щодо поділу спільного майна подружжя.</w:t>
      </w:r>
    </w:p>
    <w:p w:rsidR="001E5BFB" w:rsidRPr="001E5BFB" w:rsidRDefault="001E5BFB" w:rsidP="001E5BFB">
      <w:pPr>
        <w:numPr>
          <w:ilvl w:val="0"/>
          <w:numId w:val="1"/>
        </w:numPr>
        <w:rPr>
          <w:sz w:val="25"/>
          <w:szCs w:val="25"/>
          <w:lang w:val="ru-UA"/>
        </w:rPr>
      </w:pPr>
      <w:r w:rsidRPr="001E5BFB">
        <w:rPr>
          <w:sz w:val="25"/>
          <w:szCs w:val="25"/>
          <w:lang w:val="ru-UA"/>
        </w:rPr>
        <w:t>Захист прав та інтересів дитини при вирішенні сімейних спорів.</w:t>
      </w:r>
    </w:p>
    <w:p w:rsidR="001E5BFB" w:rsidRPr="001E5BFB" w:rsidRDefault="001E5BFB" w:rsidP="001E5BFB">
      <w:pPr>
        <w:numPr>
          <w:ilvl w:val="0"/>
          <w:numId w:val="1"/>
        </w:numPr>
        <w:rPr>
          <w:sz w:val="25"/>
          <w:szCs w:val="25"/>
          <w:lang w:val="ru-UA"/>
        </w:rPr>
      </w:pPr>
      <w:r w:rsidRPr="001E5BFB">
        <w:rPr>
          <w:sz w:val="25"/>
          <w:szCs w:val="25"/>
          <w:lang w:val="ru-UA"/>
        </w:rPr>
        <w:t>Теоретичні та практичні проблеми підстав цивільно-правової (деліктної) відповідальності.</w:t>
      </w:r>
    </w:p>
    <w:p w:rsidR="001E5BFB" w:rsidRPr="001E5BFB" w:rsidRDefault="001E5BFB" w:rsidP="001E5BFB">
      <w:pPr>
        <w:numPr>
          <w:ilvl w:val="0"/>
          <w:numId w:val="1"/>
        </w:numPr>
        <w:rPr>
          <w:sz w:val="25"/>
          <w:szCs w:val="25"/>
          <w:lang w:val="ru-UA"/>
        </w:rPr>
      </w:pPr>
      <w:r w:rsidRPr="001E5BFB">
        <w:rPr>
          <w:sz w:val="25"/>
          <w:szCs w:val="25"/>
          <w:lang w:val="ru-UA"/>
        </w:rPr>
        <w:t>Підходи судової практики щодо визначення розміру та відшкодування моральної шкоди.</w:t>
      </w:r>
    </w:p>
    <w:p w:rsidR="001E5BFB" w:rsidRPr="001E5BFB" w:rsidRDefault="001E5BFB" w:rsidP="001E5BFB">
      <w:pPr>
        <w:numPr>
          <w:ilvl w:val="0"/>
          <w:numId w:val="1"/>
        </w:numPr>
        <w:rPr>
          <w:sz w:val="25"/>
          <w:szCs w:val="25"/>
          <w:lang w:val="ru-UA"/>
        </w:rPr>
      </w:pPr>
      <w:r w:rsidRPr="001E5BFB">
        <w:rPr>
          <w:sz w:val="25"/>
          <w:szCs w:val="25"/>
          <w:lang w:val="ru-UA"/>
        </w:rPr>
        <w:t>Відшкодування шкоди, завданої джерелом підвищеної небезпеки або органами державної влади.</w:t>
      </w:r>
    </w:p>
    <w:p w:rsidR="001E5BFB" w:rsidRPr="001E5BFB" w:rsidRDefault="001E5BFB" w:rsidP="001E5BFB">
      <w:pPr>
        <w:numPr>
          <w:ilvl w:val="0"/>
          <w:numId w:val="1"/>
        </w:numPr>
        <w:rPr>
          <w:sz w:val="25"/>
          <w:szCs w:val="25"/>
          <w:lang w:val="ru-UA"/>
        </w:rPr>
      </w:pPr>
      <w:r w:rsidRPr="001E5BFB">
        <w:rPr>
          <w:sz w:val="25"/>
          <w:szCs w:val="25"/>
          <w:lang w:val="ru-UA"/>
        </w:rPr>
        <w:t>Предметна та суб’єктна юрисдикція цивільних справ: актуальні критерії розмежування.</w:t>
      </w:r>
    </w:p>
    <w:p w:rsidR="001E5BFB" w:rsidRPr="001E5BFB" w:rsidRDefault="001E5BFB" w:rsidP="001E5BFB">
      <w:pPr>
        <w:numPr>
          <w:ilvl w:val="0"/>
          <w:numId w:val="1"/>
        </w:numPr>
        <w:rPr>
          <w:sz w:val="25"/>
          <w:szCs w:val="25"/>
          <w:lang w:val="ru-UA"/>
        </w:rPr>
      </w:pPr>
      <w:r w:rsidRPr="001E5BFB">
        <w:rPr>
          <w:sz w:val="25"/>
          <w:szCs w:val="25"/>
          <w:lang w:val="ru-UA"/>
        </w:rPr>
        <w:t>Інстанційна та територіальна юрисдикція (підсудність) у цивільному процесі.</w:t>
      </w:r>
    </w:p>
    <w:p w:rsidR="001E5BFB" w:rsidRPr="001E5BFB" w:rsidRDefault="001E5BFB" w:rsidP="001E5BFB">
      <w:pPr>
        <w:numPr>
          <w:ilvl w:val="0"/>
          <w:numId w:val="1"/>
        </w:numPr>
        <w:rPr>
          <w:sz w:val="25"/>
          <w:szCs w:val="25"/>
          <w:lang w:val="ru-UA"/>
        </w:rPr>
      </w:pPr>
      <w:r w:rsidRPr="001E5BFB">
        <w:rPr>
          <w:sz w:val="25"/>
          <w:szCs w:val="25"/>
          <w:lang w:val="ru-UA"/>
        </w:rPr>
        <w:lastRenderedPageBreak/>
        <w:t>Розмежування цивільної, господарської та адміністративної юрисдикцій: складні випадки з практики Велика Палати Верховного Суду.</w:t>
      </w:r>
    </w:p>
    <w:p w:rsidR="001E5BFB" w:rsidRPr="001E5BFB" w:rsidRDefault="001E5BFB" w:rsidP="001E5BFB">
      <w:pPr>
        <w:numPr>
          <w:ilvl w:val="0"/>
          <w:numId w:val="1"/>
        </w:numPr>
        <w:rPr>
          <w:sz w:val="25"/>
          <w:szCs w:val="25"/>
          <w:lang w:val="ru-UA"/>
        </w:rPr>
      </w:pPr>
      <w:r w:rsidRPr="001E5BFB">
        <w:rPr>
          <w:sz w:val="25"/>
          <w:szCs w:val="25"/>
          <w:lang w:val="ru-UA"/>
        </w:rPr>
        <w:t>Інститут представництва у цивільному судочинстві та його ефективність для захисту прав учасників справи.</w:t>
      </w:r>
    </w:p>
    <w:p w:rsidR="001E5BFB" w:rsidRPr="001E5BFB" w:rsidRDefault="001E5BFB" w:rsidP="001E5BFB">
      <w:pPr>
        <w:numPr>
          <w:ilvl w:val="0"/>
          <w:numId w:val="1"/>
        </w:numPr>
        <w:rPr>
          <w:sz w:val="25"/>
          <w:szCs w:val="25"/>
          <w:lang w:val="ru-UA"/>
        </w:rPr>
      </w:pPr>
      <w:r w:rsidRPr="001E5BFB">
        <w:rPr>
          <w:sz w:val="25"/>
          <w:szCs w:val="25"/>
          <w:lang w:val="ru-UA"/>
        </w:rPr>
        <w:t>Повноваження адвоката як представника у цивільному процесі та ордерний порядок їх підтвердження.</w:t>
      </w:r>
    </w:p>
    <w:p w:rsidR="001E5BFB" w:rsidRPr="001E5BFB" w:rsidRDefault="001E5BFB" w:rsidP="001E5BFB">
      <w:pPr>
        <w:numPr>
          <w:ilvl w:val="0"/>
          <w:numId w:val="1"/>
        </w:numPr>
        <w:rPr>
          <w:sz w:val="25"/>
          <w:szCs w:val="25"/>
          <w:lang w:val="ru-UA"/>
        </w:rPr>
      </w:pPr>
      <w:r w:rsidRPr="001E5BFB">
        <w:rPr>
          <w:sz w:val="25"/>
          <w:szCs w:val="25"/>
          <w:lang w:val="ru-UA"/>
        </w:rPr>
        <w:t>Інститут самопредставництва юридичних осіб та органів державної влади у цивільному судочинстві.</w:t>
      </w:r>
    </w:p>
    <w:p w:rsidR="001E5BFB" w:rsidRPr="001E5BFB" w:rsidRDefault="001E5BFB" w:rsidP="001E5BFB">
      <w:pPr>
        <w:numPr>
          <w:ilvl w:val="0"/>
          <w:numId w:val="1"/>
        </w:numPr>
        <w:rPr>
          <w:sz w:val="25"/>
          <w:szCs w:val="25"/>
          <w:lang w:val="ru-UA"/>
        </w:rPr>
      </w:pPr>
      <w:r w:rsidRPr="001E5BFB">
        <w:rPr>
          <w:sz w:val="25"/>
          <w:szCs w:val="25"/>
          <w:lang w:val="ru-UA"/>
        </w:rPr>
        <w:t>Стандарти доказування («вірогідність доказів») у цивільному процесуальному праві.</w:t>
      </w:r>
    </w:p>
    <w:p w:rsidR="001E5BFB" w:rsidRPr="001E5BFB" w:rsidRDefault="001E5BFB" w:rsidP="001E5BFB">
      <w:pPr>
        <w:numPr>
          <w:ilvl w:val="0"/>
          <w:numId w:val="1"/>
        </w:numPr>
        <w:rPr>
          <w:sz w:val="25"/>
          <w:szCs w:val="25"/>
          <w:lang w:val="ru-UA"/>
        </w:rPr>
      </w:pPr>
      <w:r w:rsidRPr="001E5BFB">
        <w:rPr>
          <w:sz w:val="25"/>
          <w:szCs w:val="25"/>
          <w:lang w:val="ru-UA"/>
        </w:rPr>
        <w:t>Належність, допустимість, достовірність та достатність доказів: правове оцінювання судом.</w:t>
      </w:r>
    </w:p>
    <w:p w:rsidR="001E5BFB" w:rsidRPr="001E5BFB" w:rsidRDefault="001E5BFB" w:rsidP="001E5BFB">
      <w:pPr>
        <w:numPr>
          <w:ilvl w:val="0"/>
          <w:numId w:val="1"/>
        </w:numPr>
        <w:rPr>
          <w:sz w:val="25"/>
          <w:szCs w:val="25"/>
          <w:lang w:val="ru-UA"/>
        </w:rPr>
      </w:pPr>
      <w:r w:rsidRPr="001E5BFB">
        <w:rPr>
          <w:sz w:val="25"/>
          <w:szCs w:val="25"/>
          <w:lang w:val="ru-UA"/>
        </w:rPr>
        <w:t>Електронні докази у цивільному процесі: порядок подання, дослідження та збереження.</w:t>
      </w:r>
    </w:p>
    <w:p w:rsidR="001E5BFB" w:rsidRPr="001E5BFB" w:rsidRDefault="001E5BFB" w:rsidP="001E5BFB">
      <w:pPr>
        <w:numPr>
          <w:ilvl w:val="0"/>
          <w:numId w:val="1"/>
        </w:numPr>
        <w:rPr>
          <w:sz w:val="25"/>
          <w:szCs w:val="25"/>
          <w:lang w:val="ru-UA"/>
        </w:rPr>
      </w:pPr>
      <w:r w:rsidRPr="001E5BFB">
        <w:rPr>
          <w:sz w:val="25"/>
          <w:szCs w:val="25"/>
          <w:lang w:val="ru-UA"/>
        </w:rPr>
        <w:t>Розподіл обов'язку доказування та подання доказів між сторонами цивільного процесу.</w:t>
      </w:r>
    </w:p>
    <w:p w:rsidR="001E5BFB" w:rsidRPr="001E5BFB" w:rsidRDefault="001E5BFB" w:rsidP="001E5BFB">
      <w:pPr>
        <w:numPr>
          <w:ilvl w:val="0"/>
          <w:numId w:val="1"/>
        </w:numPr>
        <w:rPr>
          <w:sz w:val="25"/>
          <w:szCs w:val="25"/>
          <w:lang w:val="ru-UA"/>
        </w:rPr>
      </w:pPr>
      <w:r w:rsidRPr="001E5BFB">
        <w:rPr>
          <w:sz w:val="25"/>
          <w:szCs w:val="25"/>
          <w:lang w:val="ru-UA"/>
        </w:rPr>
        <w:t>Забезпечення доказів та забезпечення позову в цивільному судочинстві.</w:t>
      </w:r>
    </w:p>
    <w:p w:rsidR="001E5BFB" w:rsidRPr="001E5BFB" w:rsidRDefault="001E5BFB" w:rsidP="001E5BFB">
      <w:pPr>
        <w:numPr>
          <w:ilvl w:val="0"/>
          <w:numId w:val="1"/>
        </w:numPr>
        <w:rPr>
          <w:sz w:val="25"/>
          <w:szCs w:val="25"/>
          <w:lang w:val="ru-UA"/>
        </w:rPr>
      </w:pPr>
      <w:r w:rsidRPr="001E5BFB">
        <w:rPr>
          <w:sz w:val="25"/>
          <w:szCs w:val="25"/>
          <w:lang w:val="ru-UA"/>
        </w:rPr>
        <w:t>Практичні проблеми порушення провадження та підготовки справи до судового розгляду у позовному провадженні.</w:t>
      </w:r>
    </w:p>
    <w:p w:rsidR="001E5BFB" w:rsidRPr="001E5BFB" w:rsidRDefault="001E5BFB" w:rsidP="001E5BFB">
      <w:pPr>
        <w:numPr>
          <w:ilvl w:val="0"/>
          <w:numId w:val="1"/>
        </w:numPr>
        <w:rPr>
          <w:sz w:val="25"/>
          <w:szCs w:val="25"/>
          <w:lang w:val="ru-UA"/>
        </w:rPr>
      </w:pPr>
      <w:r w:rsidRPr="001E5BFB">
        <w:rPr>
          <w:sz w:val="25"/>
          <w:szCs w:val="25"/>
          <w:lang w:val="ru-UA"/>
        </w:rPr>
        <w:t>Залишення позовної заяви без руху, повернення позовної заяви та відмова у відкритті провадження.</w:t>
      </w:r>
    </w:p>
    <w:p w:rsidR="001E5BFB" w:rsidRPr="001E5BFB" w:rsidRDefault="001E5BFB" w:rsidP="001E5BFB">
      <w:pPr>
        <w:numPr>
          <w:ilvl w:val="0"/>
          <w:numId w:val="1"/>
        </w:numPr>
        <w:rPr>
          <w:sz w:val="25"/>
          <w:szCs w:val="25"/>
          <w:lang w:val="ru-UA"/>
        </w:rPr>
      </w:pPr>
      <w:r w:rsidRPr="001E5BFB">
        <w:rPr>
          <w:sz w:val="25"/>
          <w:szCs w:val="25"/>
          <w:lang w:val="ru-UA"/>
        </w:rPr>
        <w:t>Зупинення, закриття провадження у справі та залишення позову без розгляду: підстави та процесуальні наслідки.</w:t>
      </w:r>
    </w:p>
    <w:p w:rsidR="001E5BFB" w:rsidRPr="001E5BFB" w:rsidRDefault="001E5BFB" w:rsidP="001E5BFB">
      <w:pPr>
        <w:numPr>
          <w:ilvl w:val="0"/>
          <w:numId w:val="1"/>
        </w:numPr>
        <w:rPr>
          <w:sz w:val="25"/>
          <w:szCs w:val="25"/>
          <w:lang w:val="ru-UA"/>
        </w:rPr>
      </w:pPr>
      <w:r w:rsidRPr="001E5BFB">
        <w:rPr>
          <w:sz w:val="25"/>
          <w:szCs w:val="25"/>
          <w:lang w:val="ru-UA"/>
        </w:rPr>
        <w:t>Судове рішення у цивільній справі: вимоги законності, обґрунтованості та мотивованості.</w:t>
      </w:r>
    </w:p>
    <w:p w:rsidR="001E5BFB" w:rsidRPr="001E5BFB" w:rsidRDefault="001E5BFB" w:rsidP="001E5BFB">
      <w:pPr>
        <w:numPr>
          <w:ilvl w:val="0"/>
          <w:numId w:val="1"/>
        </w:numPr>
        <w:rPr>
          <w:sz w:val="25"/>
          <w:szCs w:val="25"/>
          <w:lang w:val="ru-UA"/>
        </w:rPr>
      </w:pPr>
      <w:r w:rsidRPr="001E5BFB">
        <w:rPr>
          <w:sz w:val="25"/>
          <w:szCs w:val="25"/>
          <w:lang w:val="ru-UA"/>
        </w:rPr>
        <w:t>Особливості та процесуальний порядок розгляду справ у порядку наказного провадження.</w:t>
      </w:r>
    </w:p>
    <w:p w:rsidR="001E5BFB" w:rsidRPr="001E5BFB" w:rsidRDefault="001E5BFB" w:rsidP="001E5BFB">
      <w:pPr>
        <w:numPr>
          <w:ilvl w:val="0"/>
          <w:numId w:val="1"/>
        </w:numPr>
        <w:rPr>
          <w:sz w:val="25"/>
          <w:szCs w:val="25"/>
          <w:lang w:val="ru-UA"/>
        </w:rPr>
      </w:pPr>
      <w:r w:rsidRPr="001E5BFB">
        <w:rPr>
          <w:sz w:val="25"/>
          <w:szCs w:val="25"/>
          <w:lang w:val="ru-UA"/>
        </w:rPr>
        <w:t>Скасування судового наказу: підстави та процесуальний алгоритм.</w:t>
      </w:r>
    </w:p>
    <w:p w:rsidR="001E5BFB" w:rsidRPr="001E5BFB" w:rsidRDefault="001E5BFB" w:rsidP="001E5BFB">
      <w:pPr>
        <w:numPr>
          <w:ilvl w:val="0"/>
          <w:numId w:val="1"/>
        </w:numPr>
        <w:rPr>
          <w:sz w:val="25"/>
          <w:szCs w:val="25"/>
          <w:lang w:val="ru-UA"/>
        </w:rPr>
      </w:pPr>
      <w:r w:rsidRPr="001E5BFB">
        <w:rPr>
          <w:sz w:val="25"/>
          <w:szCs w:val="25"/>
          <w:lang w:val="ru-UA"/>
        </w:rPr>
        <w:t>Специфіка розгляду справ окремого провадження та їх відмежування від позовних спорів.</w:t>
      </w:r>
    </w:p>
    <w:p w:rsidR="001E5BFB" w:rsidRPr="001E5BFB" w:rsidRDefault="001E5BFB" w:rsidP="001E5BFB">
      <w:pPr>
        <w:numPr>
          <w:ilvl w:val="0"/>
          <w:numId w:val="1"/>
        </w:numPr>
        <w:rPr>
          <w:sz w:val="25"/>
          <w:szCs w:val="25"/>
          <w:lang w:val="ru-UA"/>
        </w:rPr>
      </w:pPr>
      <w:r w:rsidRPr="001E5BFB">
        <w:rPr>
          <w:sz w:val="25"/>
          <w:szCs w:val="25"/>
          <w:lang w:val="ru-UA"/>
        </w:rPr>
        <w:t>Оскарження судових рішень в апеляційному порядку: строки, підстави та повноваження апеляційного суду.</w:t>
      </w:r>
    </w:p>
    <w:p w:rsidR="001E5BFB" w:rsidRPr="001E5BFB" w:rsidRDefault="001E5BFB" w:rsidP="001E5BFB">
      <w:pPr>
        <w:numPr>
          <w:ilvl w:val="0"/>
          <w:numId w:val="1"/>
        </w:numPr>
        <w:rPr>
          <w:sz w:val="25"/>
          <w:szCs w:val="25"/>
          <w:lang w:val="ru-UA"/>
        </w:rPr>
      </w:pPr>
      <w:r w:rsidRPr="001E5BFB">
        <w:rPr>
          <w:sz w:val="25"/>
          <w:szCs w:val="25"/>
          <w:lang w:val="ru-UA"/>
        </w:rPr>
        <w:t>Касаційне провадження у цивільних справах: фільтри касаційного оскарження та підстави скасування рішень.</w:t>
      </w:r>
    </w:p>
    <w:p w:rsidR="001E5BFB" w:rsidRPr="001E5BFB" w:rsidRDefault="001E5BFB" w:rsidP="001E5BFB">
      <w:pPr>
        <w:numPr>
          <w:ilvl w:val="0"/>
          <w:numId w:val="1"/>
        </w:numPr>
        <w:rPr>
          <w:sz w:val="25"/>
          <w:szCs w:val="25"/>
          <w:lang w:val="ru-UA"/>
        </w:rPr>
      </w:pPr>
      <w:r w:rsidRPr="001E5BFB">
        <w:rPr>
          <w:sz w:val="25"/>
          <w:szCs w:val="25"/>
          <w:lang w:val="ru-UA"/>
        </w:rPr>
        <w:t>Перегляд судових рішень за нововиявленими або виключними обставинами.</w:t>
      </w:r>
    </w:p>
    <w:p w:rsidR="001E5BFB" w:rsidRPr="001E5BFB" w:rsidRDefault="001E5BFB" w:rsidP="001E5BFB">
      <w:pPr>
        <w:numPr>
          <w:ilvl w:val="0"/>
          <w:numId w:val="1"/>
        </w:numPr>
        <w:rPr>
          <w:sz w:val="25"/>
          <w:szCs w:val="25"/>
          <w:lang w:val="ru-UA"/>
        </w:rPr>
      </w:pPr>
      <w:r w:rsidRPr="001E5BFB">
        <w:rPr>
          <w:sz w:val="25"/>
          <w:szCs w:val="25"/>
          <w:lang w:val="ru-UA"/>
        </w:rPr>
        <w:t>Межі розгляду справи судами апеляційної та касаційної інстанцій.</w:t>
      </w:r>
    </w:p>
    <w:p w:rsidR="001E5BFB" w:rsidRPr="001E5BFB" w:rsidRDefault="001E5BFB" w:rsidP="001E5BFB">
      <w:pPr>
        <w:numPr>
          <w:ilvl w:val="0"/>
          <w:numId w:val="1"/>
        </w:numPr>
        <w:rPr>
          <w:sz w:val="25"/>
          <w:szCs w:val="25"/>
          <w:lang w:val="ru-UA"/>
        </w:rPr>
      </w:pPr>
      <w:r w:rsidRPr="001E5BFB">
        <w:rPr>
          <w:sz w:val="25"/>
          <w:szCs w:val="25"/>
          <w:lang w:val="ru-UA"/>
        </w:rPr>
        <w:t>Актуальні питання виконання судових рішень у цивільних справах та забезпечення їх виконання.</w:t>
      </w:r>
    </w:p>
    <w:p w:rsidR="001E5BFB" w:rsidRPr="001E5BFB" w:rsidRDefault="001E5BFB" w:rsidP="001E5BFB">
      <w:pPr>
        <w:numPr>
          <w:ilvl w:val="0"/>
          <w:numId w:val="1"/>
        </w:numPr>
        <w:rPr>
          <w:sz w:val="25"/>
          <w:szCs w:val="25"/>
          <w:lang w:val="ru-UA"/>
        </w:rPr>
      </w:pPr>
      <w:r w:rsidRPr="001E5BFB">
        <w:rPr>
          <w:sz w:val="25"/>
          <w:szCs w:val="25"/>
          <w:lang w:val="ru-UA"/>
        </w:rPr>
        <w:t>Судовий контроль за виконанням судових рішень у цивільних справах: розгляд скарг на дії чи бездіяльність виконавця.</w:t>
      </w:r>
    </w:p>
    <w:p w:rsidR="001E5BFB" w:rsidRPr="001E5BFB" w:rsidRDefault="001E5BFB" w:rsidP="001E5BFB">
      <w:pPr>
        <w:numPr>
          <w:ilvl w:val="0"/>
          <w:numId w:val="1"/>
        </w:numPr>
        <w:rPr>
          <w:sz w:val="25"/>
          <w:szCs w:val="25"/>
          <w:lang w:val="ru-UA"/>
        </w:rPr>
      </w:pPr>
      <w:r w:rsidRPr="001E5BFB">
        <w:rPr>
          <w:sz w:val="25"/>
          <w:szCs w:val="25"/>
          <w:lang w:val="ru-UA"/>
        </w:rPr>
        <w:t>Правові засади та актуальні питання застосування медіації у цивільному судочинстві.</w:t>
      </w:r>
    </w:p>
    <w:p w:rsidR="001E5BFB" w:rsidRPr="001E5BFB" w:rsidRDefault="001E5BFB" w:rsidP="001E5BFB">
      <w:pPr>
        <w:numPr>
          <w:ilvl w:val="0"/>
          <w:numId w:val="1"/>
        </w:numPr>
        <w:rPr>
          <w:sz w:val="25"/>
          <w:szCs w:val="25"/>
          <w:lang w:val="ru-UA"/>
        </w:rPr>
      </w:pPr>
      <w:r w:rsidRPr="001E5BFB">
        <w:rPr>
          <w:sz w:val="25"/>
          <w:szCs w:val="25"/>
          <w:lang w:val="ru-UA"/>
        </w:rPr>
        <w:t>Врегулювання спору за участю судді: порядок проведення, умови та правові наслідки.</w:t>
      </w:r>
    </w:p>
    <w:p w:rsidR="001E5BFB" w:rsidRPr="001E5BFB" w:rsidRDefault="001E5BFB" w:rsidP="001E5BFB">
      <w:pPr>
        <w:numPr>
          <w:ilvl w:val="0"/>
          <w:numId w:val="1"/>
        </w:numPr>
        <w:rPr>
          <w:sz w:val="25"/>
          <w:szCs w:val="25"/>
          <w:lang w:val="ru-UA"/>
        </w:rPr>
      </w:pPr>
      <w:r w:rsidRPr="001E5BFB">
        <w:rPr>
          <w:sz w:val="25"/>
          <w:szCs w:val="25"/>
          <w:lang w:val="ru-UA"/>
        </w:rPr>
        <w:t>Мирова угода у цивільному процесі: порядок укладення, затвердження судом та виконання.</w:t>
      </w:r>
    </w:p>
    <w:p w:rsidR="002716F7" w:rsidRPr="001E5BFB" w:rsidRDefault="002716F7">
      <w:pPr>
        <w:rPr>
          <w:sz w:val="25"/>
          <w:szCs w:val="25"/>
          <w:lang w:val="ru-UA"/>
        </w:rPr>
      </w:pPr>
    </w:p>
    <w:sectPr w:rsidR="002716F7" w:rsidRPr="001E5BFB" w:rsidSect="00B96124">
      <w:pgSz w:w="11900" w:h="1682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154C98"/>
    <w:multiLevelType w:val="multilevel"/>
    <w:tmpl w:val="4900F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42024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mirrorMargins/>
  <w:proofState w:spelling="clean" w:grammar="clean"/>
  <w:defaultTabStop w:val="708"/>
  <w:evenAndOddHeaders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BFB"/>
    <w:rsid w:val="001707D1"/>
    <w:rsid w:val="001830D8"/>
    <w:rsid w:val="001E5BFB"/>
    <w:rsid w:val="002716F7"/>
    <w:rsid w:val="00387B42"/>
    <w:rsid w:val="00504329"/>
    <w:rsid w:val="00544B8C"/>
    <w:rsid w:val="006D13DD"/>
    <w:rsid w:val="0078465F"/>
    <w:rsid w:val="007A2690"/>
    <w:rsid w:val="00A60193"/>
    <w:rsid w:val="00B96124"/>
    <w:rsid w:val="00CE3D70"/>
    <w:rsid w:val="00D04329"/>
    <w:rsid w:val="00D52DFC"/>
    <w:rsid w:val="00F23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968D580"/>
  <w15:chartTrackingRefBased/>
  <w15:docId w15:val="{5EEAE9E7-5D07-0348-AEEC-DC4495C5F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6"/>
        <w:szCs w:val="24"/>
        <w:lang w:val="ru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1E5B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5B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5BF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5BF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5BF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5BF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5BF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5BF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5BF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5BFB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1E5BF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1E5BFB"/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1E5BFB"/>
    <w:rPr>
      <w:rFonts w:asciiTheme="minorHAnsi" w:eastAsiaTheme="majorEastAsia" w:hAnsiTheme="minorHAnsi" w:cstheme="majorBidi"/>
      <w:i/>
      <w:iCs/>
      <w:color w:val="2F5496" w:themeColor="accent1" w:themeShade="BF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1E5BFB"/>
    <w:rPr>
      <w:rFonts w:asciiTheme="minorHAnsi" w:eastAsiaTheme="majorEastAsia" w:hAnsiTheme="minorHAnsi" w:cstheme="majorBidi"/>
      <w:color w:val="2F5496" w:themeColor="accent1" w:themeShade="BF"/>
      <w:lang w:val="uk-UA"/>
    </w:rPr>
  </w:style>
  <w:style w:type="character" w:customStyle="1" w:styleId="60">
    <w:name w:val="Заголовок 6 Знак"/>
    <w:basedOn w:val="a0"/>
    <w:link w:val="6"/>
    <w:uiPriority w:val="9"/>
    <w:semiHidden/>
    <w:rsid w:val="001E5BFB"/>
    <w:rPr>
      <w:rFonts w:asciiTheme="minorHAnsi" w:eastAsiaTheme="majorEastAsia" w:hAnsiTheme="minorHAnsi" w:cstheme="majorBidi"/>
      <w:i/>
      <w:iCs/>
      <w:color w:val="595959" w:themeColor="text1" w:themeTint="A6"/>
      <w:lang w:val="uk-UA"/>
    </w:rPr>
  </w:style>
  <w:style w:type="character" w:customStyle="1" w:styleId="70">
    <w:name w:val="Заголовок 7 Знак"/>
    <w:basedOn w:val="a0"/>
    <w:link w:val="7"/>
    <w:uiPriority w:val="9"/>
    <w:semiHidden/>
    <w:rsid w:val="001E5BFB"/>
    <w:rPr>
      <w:rFonts w:asciiTheme="minorHAnsi" w:eastAsiaTheme="majorEastAsia" w:hAnsiTheme="minorHAnsi" w:cstheme="majorBidi"/>
      <w:color w:val="595959" w:themeColor="text1" w:themeTint="A6"/>
      <w:lang w:val="uk-UA"/>
    </w:rPr>
  </w:style>
  <w:style w:type="character" w:customStyle="1" w:styleId="80">
    <w:name w:val="Заголовок 8 Знак"/>
    <w:basedOn w:val="a0"/>
    <w:link w:val="8"/>
    <w:uiPriority w:val="9"/>
    <w:semiHidden/>
    <w:rsid w:val="001E5BFB"/>
    <w:rPr>
      <w:rFonts w:asciiTheme="minorHAnsi" w:eastAsiaTheme="majorEastAsia" w:hAnsiTheme="minorHAnsi" w:cstheme="majorBidi"/>
      <w:i/>
      <w:iCs/>
      <w:color w:val="272727" w:themeColor="text1" w:themeTint="D8"/>
      <w:lang w:val="uk-UA"/>
    </w:rPr>
  </w:style>
  <w:style w:type="character" w:customStyle="1" w:styleId="90">
    <w:name w:val="Заголовок 9 Знак"/>
    <w:basedOn w:val="a0"/>
    <w:link w:val="9"/>
    <w:uiPriority w:val="9"/>
    <w:semiHidden/>
    <w:rsid w:val="001E5BFB"/>
    <w:rPr>
      <w:rFonts w:asciiTheme="minorHAnsi" w:eastAsiaTheme="majorEastAsia" w:hAnsiTheme="minorHAnsi" w:cstheme="majorBidi"/>
      <w:color w:val="272727" w:themeColor="text1" w:themeTint="D8"/>
      <w:lang w:val="uk-UA"/>
    </w:rPr>
  </w:style>
  <w:style w:type="paragraph" w:styleId="a3">
    <w:name w:val="Title"/>
    <w:basedOn w:val="a"/>
    <w:next w:val="a"/>
    <w:link w:val="a4"/>
    <w:uiPriority w:val="10"/>
    <w:qFormat/>
    <w:rsid w:val="001E5B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E5BFB"/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</w:rPr>
  </w:style>
  <w:style w:type="paragraph" w:styleId="a5">
    <w:name w:val="Subtitle"/>
    <w:basedOn w:val="a"/>
    <w:next w:val="a"/>
    <w:link w:val="a6"/>
    <w:uiPriority w:val="11"/>
    <w:qFormat/>
    <w:rsid w:val="001E5BF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E5BF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uk-UA"/>
    </w:rPr>
  </w:style>
  <w:style w:type="paragraph" w:styleId="21">
    <w:name w:val="Quote"/>
    <w:basedOn w:val="a"/>
    <w:next w:val="a"/>
    <w:link w:val="22"/>
    <w:uiPriority w:val="29"/>
    <w:qFormat/>
    <w:rsid w:val="001E5BF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E5BFB"/>
    <w:rPr>
      <w:i/>
      <w:iCs/>
      <w:color w:val="404040" w:themeColor="text1" w:themeTint="BF"/>
      <w:lang w:val="uk-UA"/>
    </w:rPr>
  </w:style>
  <w:style w:type="paragraph" w:styleId="a7">
    <w:name w:val="List Paragraph"/>
    <w:basedOn w:val="a"/>
    <w:uiPriority w:val="34"/>
    <w:qFormat/>
    <w:rsid w:val="001E5BF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E5BF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E5B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E5BFB"/>
    <w:rPr>
      <w:i/>
      <w:iCs/>
      <w:color w:val="2F5496" w:themeColor="accent1" w:themeShade="BF"/>
      <w:lang w:val="uk-UA"/>
    </w:rPr>
  </w:style>
  <w:style w:type="character" w:styleId="ab">
    <w:name w:val="Intense Reference"/>
    <w:basedOn w:val="a0"/>
    <w:uiPriority w:val="32"/>
    <w:qFormat/>
    <w:rsid w:val="001E5BF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596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20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57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8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65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54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18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8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0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2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00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87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84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4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0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11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79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63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1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02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58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33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28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215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55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83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04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1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02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78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72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6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4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83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56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99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83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41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9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18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83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24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2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90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9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54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16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53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0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11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17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29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76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25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91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7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6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1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86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1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18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98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3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1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9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0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3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9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1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99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8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16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00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84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76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90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68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29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8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90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3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2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10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47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4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54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671</Words>
  <Characters>3830</Characters>
  <Application>Microsoft Office Word</Application>
  <DocSecurity>0</DocSecurity>
  <Lines>31</Lines>
  <Paragraphs>8</Paragraphs>
  <ScaleCrop>false</ScaleCrop>
  <Company/>
  <LinksUpToDate>false</LinksUpToDate>
  <CharactersWithSpaces>4493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Федосенко</dc:creator>
  <cp:keywords/>
  <dc:description/>
  <cp:lastModifiedBy>Наталія Федосенко</cp:lastModifiedBy>
  <cp:revision>1</cp:revision>
  <dcterms:created xsi:type="dcterms:W3CDTF">2026-09-21T13:47:00Z</dcterms:created>
  <dcterms:modified xsi:type="dcterms:W3CDTF">2026-09-21T13:49:00Z</dcterms:modified>
</cp:coreProperties>
</file>